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3C" w:rsidRPr="00CC4957" w:rsidRDefault="00C64F3C" w:rsidP="00CC4957">
      <w:pPr>
        <w:pStyle w:val="TableContents"/>
        <w:tabs>
          <w:tab w:val="left" w:pos="2086"/>
        </w:tabs>
        <w:rPr>
          <w:rFonts w:ascii="Calibri" w:hAnsi="Calibri"/>
        </w:rPr>
      </w:pPr>
      <w:bookmarkStart w:id="0" w:name="_GoBack"/>
      <w:bookmarkEnd w:id="0"/>
      <w:r w:rsidRPr="0052568F">
        <w:rPr>
          <w:rFonts w:ascii="Calibri" w:hAnsi="Calibri" w:cs="Gill Sans"/>
          <w:b/>
          <w:sz w:val="64"/>
          <w:szCs w:val="64"/>
        </w:rPr>
        <w:t xml:space="preserve">                            </w:t>
      </w:r>
      <w:r w:rsidR="00CC4957">
        <w:rPr>
          <w:rFonts w:ascii="Calibri" w:hAnsi="Calibri" w:cs="Gill Sans"/>
          <w:b/>
          <w:sz w:val="64"/>
          <w:szCs w:val="64"/>
        </w:rPr>
        <w:t xml:space="preserve">                          </w:t>
      </w:r>
    </w:p>
    <w:p w:rsidR="00C64F3C" w:rsidRDefault="00C64F3C" w:rsidP="00C64F3C">
      <w:pPr>
        <w:suppressAutoHyphens w:val="0"/>
        <w:autoSpaceDE w:val="0"/>
        <w:autoSpaceDN w:val="0"/>
        <w:adjustRightInd w:val="0"/>
        <w:jc w:val="right"/>
        <w:rPr>
          <w:rFonts w:ascii="Calibri" w:eastAsia="Times New Roman" w:hAnsi="Calibri" w:cs="Helvetica"/>
          <w:kern w:val="0"/>
          <w:lang w:val="en-US" w:eastAsia="en-US" w:bidi="ar-SA"/>
        </w:rPr>
      </w:pPr>
      <w:r>
        <w:rPr>
          <w:rFonts w:ascii="Calibri" w:eastAsia="Times New Roman" w:hAnsi="Calibri" w:cs="Helvetica"/>
          <w:noProof/>
          <w:kern w:val="0"/>
          <w:lang w:eastAsia="en-GB" w:bidi="ar-SA"/>
        </w:rPr>
        <w:drawing>
          <wp:inline distT="0" distB="0" distL="0" distR="0">
            <wp:extent cx="3659652" cy="1590150"/>
            <wp:effectExtent l="19050" t="0" r="0" b="0"/>
            <wp:docPr id="1" name="Picture 0" descr="SEcom_T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m_TRlogo.jpg"/>
                    <pic:cNvPicPr/>
                  </pic:nvPicPr>
                  <pic:blipFill>
                    <a:blip r:embed="rId8" cstate="print"/>
                    <a:stretch>
                      <a:fillRect/>
                    </a:stretch>
                  </pic:blipFill>
                  <pic:spPr>
                    <a:xfrm>
                      <a:off x="0" y="0"/>
                      <a:ext cx="3662058" cy="1591196"/>
                    </a:xfrm>
                    <a:prstGeom prst="rect">
                      <a:avLst/>
                    </a:prstGeom>
                  </pic:spPr>
                </pic:pic>
              </a:graphicData>
            </a:graphic>
          </wp:inline>
        </w:drawing>
      </w:r>
    </w:p>
    <w:p w:rsidR="00C64F3C" w:rsidRDefault="00C64F3C" w:rsidP="00C64F3C">
      <w:pPr>
        <w:suppressAutoHyphens w:val="0"/>
        <w:autoSpaceDE w:val="0"/>
        <w:autoSpaceDN w:val="0"/>
        <w:adjustRightInd w:val="0"/>
        <w:jc w:val="right"/>
        <w:rPr>
          <w:rFonts w:ascii="Calibri" w:eastAsia="Times New Roman" w:hAnsi="Calibri" w:cs="Helvetica"/>
          <w:kern w:val="0"/>
          <w:lang w:val="en-US" w:eastAsia="en-US" w:bidi="ar-SA"/>
        </w:rPr>
      </w:pPr>
    </w:p>
    <w:p w:rsidR="00C64F3C" w:rsidRDefault="00C64F3C" w:rsidP="00C64F3C">
      <w:pPr>
        <w:pStyle w:val="TableContents"/>
        <w:jc w:val="center"/>
        <w:rPr>
          <w:rFonts w:ascii="Calibri" w:hAnsi="Calibri" w:cs="Gill Sans"/>
          <w:b/>
          <w:sz w:val="64"/>
          <w:szCs w:val="64"/>
        </w:rPr>
      </w:pPr>
      <w:bookmarkStart w:id="1" w:name="_Toc206756751"/>
    </w:p>
    <w:p w:rsidR="00C64F3C" w:rsidRDefault="00C64F3C" w:rsidP="00C64F3C">
      <w:pPr>
        <w:pStyle w:val="TableContents"/>
        <w:jc w:val="center"/>
        <w:rPr>
          <w:rFonts w:ascii="Calibri" w:hAnsi="Calibri" w:cs="Gill Sans"/>
          <w:b/>
          <w:sz w:val="64"/>
          <w:szCs w:val="64"/>
        </w:rPr>
      </w:pPr>
      <w:r>
        <w:rPr>
          <w:rFonts w:ascii="Calibri" w:hAnsi="Calibri" w:cs="Gill Sans"/>
          <w:b/>
          <w:sz w:val="64"/>
          <w:szCs w:val="64"/>
        </w:rPr>
        <w:t>Theatre Royal Stratford East</w:t>
      </w:r>
    </w:p>
    <w:p w:rsidR="00C64F3C" w:rsidRPr="00CC4957" w:rsidRDefault="00C64F3C" w:rsidP="00CC4957">
      <w:pPr>
        <w:pStyle w:val="TableContents"/>
        <w:jc w:val="center"/>
        <w:rPr>
          <w:rFonts w:ascii="Calibri" w:hAnsi="Calibri" w:cs="Gill Sans"/>
          <w:b/>
          <w:sz w:val="64"/>
          <w:szCs w:val="64"/>
        </w:rPr>
      </w:pPr>
      <w:r w:rsidRPr="0052568F">
        <w:rPr>
          <w:rFonts w:ascii="Calibri" w:hAnsi="Calibri" w:cs="Gill Sans"/>
          <w:b/>
          <w:sz w:val="64"/>
          <w:szCs w:val="64"/>
        </w:rPr>
        <w:t>Environmental Policy</w:t>
      </w:r>
    </w:p>
    <w:p w:rsidR="00C64F3C" w:rsidRPr="00C64F3C" w:rsidRDefault="00C64F3C" w:rsidP="00C64F3C">
      <w:pPr>
        <w:pStyle w:val="Heading1"/>
        <w:rPr>
          <w:rFonts w:ascii="Arial" w:hAnsi="Arial" w:cs="Arial"/>
          <w:color w:val="auto"/>
        </w:rPr>
      </w:pPr>
      <w:r w:rsidRPr="00C64F3C">
        <w:rPr>
          <w:rFonts w:ascii="Arial" w:hAnsi="Arial" w:cs="Arial"/>
          <w:color w:val="auto"/>
        </w:rPr>
        <w:t>1. Mission Statement</w:t>
      </w:r>
      <w:bookmarkEnd w:id="1"/>
    </w:p>
    <w:p w:rsidR="00C64F3C" w:rsidRPr="00C64F3C" w:rsidRDefault="00C64F3C" w:rsidP="00C64F3C">
      <w:pPr>
        <w:rPr>
          <w:rFonts w:ascii="Arial" w:hAnsi="Arial" w:cs="Arial"/>
        </w:rPr>
      </w:pPr>
      <w:r w:rsidRPr="00C64F3C">
        <w:rPr>
          <w:rFonts w:ascii="Arial" w:hAnsi="Arial" w:cs="Arial"/>
        </w:rPr>
        <w:t xml:space="preserve">Pioneer Theatres Ltd, trading as Theatre Royal Stratford East (TRSE), is based in a Grade II* listed building (built 1884) and currently has a capacity of 450 seats. In September 2004, Kerry Michael took over as Artistic Director and Chief Executive – his </w:t>
      </w:r>
      <w:r>
        <w:rPr>
          <w:rFonts w:ascii="Arial" w:hAnsi="Arial" w:cs="Arial"/>
        </w:rPr>
        <w:t>goal as Artistic D</w:t>
      </w:r>
      <w:r w:rsidRPr="00C64F3C">
        <w:rPr>
          <w:rFonts w:ascii="Arial" w:hAnsi="Arial" w:cs="Arial"/>
        </w:rPr>
        <w:t>irector is to uphold the theatre's commitment to develop new work and to provide a platform for those voices under</w:t>
      </w:r>
      <w:r>
        <w:rPr>
          <w:rFonts w:ascii="Arial" w:hAnsi="Arial" w:cs="Arial"/>
        </w:rPr>
        <w:t>-</w:t>
      </w:r>
      <w:r w:rsidRPr="00C64F3C">
        <w:rPr>
          <w:rFonts w:ascii="Arial" w:hAnsi="Arial" w:cs="Arial"/>
        </w:rPr>
        <w:t>represented in the e</w:t>
      </w:r>
      <w:r>
        <w:rPr>
          <w:rFonts w:ascii="Arial" w:hAnsi="Arial" w:cs="Arial"/>
        </w:rPr>
        <w:t xml:space="preserve">ver-changing communities of East </w:t>
      </w:r>
      <w:r w:rsidRPr="00C64F3C">
        <w:rPr>
          <w:rFonts w:ascii="Arial" w:hAnsi="Arial" w:cs="Arial"/>
        </w:rPr>
        <w:t>London.</w:t>
      </w:r>
    </w:p>
    <w:p w:rsidR="00C64F3C" w:rsidRPr="00C64F3C" w:rsidRDefault="00C64F3C" w:rsidP="00C64F3C">
      <w:pPr>
        <w:widowControl/>
        <w:suppressAutoHyphens w:val="0"/>
        <w:rPr>
          <w:rFonts w:ascii="Arial" w:eastAsia="Times New Roman" w:hAnsi="Arial" w:cs="Arial"/>
          <w:kern w:val="0"/>
          <w:sz w:val="20"/>
          <w:szCs w:val="20"/>
          <w:lang w:eastAsia="en-US" w:bidi="ar-SA"/>
        </w:rPr>
      </w:pPr>
    </w:p>
    <w:p w:rsidR="00C64F3C" w:rsidRPr="00C64F3C" w:rsidRDefault="00C64F3C" w:rsidP="00C64F3C">
      <w:pPr>
        <w:rPr>
          <w:rFonts w:ascii="Arial" w:hAnsi="Arial" w:cs="Arial"/>
        </w:rPr>
      </w:pPr>
      <w:r w:rsidRPr="00C64F3C">
        <w:rPr>
          <w:rFonts w:ascii="Arial" w:hAnsi="Arial" w:cs="Arial"/>
        </w:rPr>
        <w:t xml:space="preserve">TRSE recognises that business can negatively impact the environment. We are committed finding ways in which we can reduce the environmental impact of our work. </w:t>
      </w:r>
    </w:p>
    <w:p w:rsidR="00C64F3C" w:rsidRPr="00C64F3C" w:rsidRDefault="00C64F3C" w:rsidP="00C64F3C">
      <w:pPr>
        <w:rPr>
          <w:rFonts w:ascii="Arial" w:hAnsi="Arial" w:cs="Arial"/>
        </w:rPr>
      </w:pPr>
    </w:p>
    <w:p w:rsidR="00C64F3C" w:rsidRPr="00C64F3C" w:rsidRDefault="00C64F3C" w:rsidP="00C64F3C">
      <w:pPr>
        <w:rPr>
          <w:rFonts w:ascii="Arial" w:hAnsi="Arial" w:cs="Arial"/>
        </w:rPr>
      </w:pPr>
      <w:r w:rsidRPr="00C64F3C">
        <w:rPr>
          <w:rFonts w:ascii="Arial" w:hAnsi="Arial" w:cs="Arial"/>
        </w:rPr>
        <w:t>This policy aims to encourage a</w:t>
      </w:r>
      <w:r>
        <w:rPr>
          <w:rFonts w:ascii="Arial" w:hAnsi="Arial" w:cs="Arial"/>
        </w:rPr>
        <w:t xml:space="preserve"> working environment which</w:t>
      </w:r>
      <w:r w:rsidRPr="00C64F3C">
        <w:rPr>
          <w:rFonts w:ascii="Arial" w:hAnsi="Arial" w:cs="Arial"/>
        </w:rPr>
        <w:t xml:space="preserve">, where reasonably possible, strives to promote energy efficiency, recycling of waste materials and the use of recycled products in the pursuit of creating an economic and environmentally friendly workplace.  We will also comply with all relevant environmental legislation, regulations and requirements. </w:t>
      </w:r>
    </w:p>
    <w:p w:rsidR="00C64F3C" w:rsidRPr="00C64F3C" w:rsidRDefault="00C64F3C" w:rsidP="00C64F3C">
      <w:pPr>
        <w:rPr>
          <w:rFonts w:ascii="Arial" w:hAnsi="Arial" w:cs="Arial"/>
        </w:rPr>
      </w:pPr>
    </w:p>
    <w:p w:rsidR="00C64F3C" w:rsidRPr="00C64F3C" w:rsidRDefault="00C64F3C" w:rsidP="00C64F3C">
      <w:pPr>
        <w:rPr>
          <w:rFonts w:ascii="Arial" w:hAnsi="Arial" w:cs="Arial"/>
        </w:rPr>
      </w:pPr>
      <w:r w:rsidRPr="00C64F3C">
        <w:rPr>
          <w:rFonts w:ascii="Arial" w:hAnsi="Arial" w:cs="Arial"/>
        </w:rPr>
        <w:t xml:space="preserve">The action plan attached to this policy details all the actions we are already taking </w:t>
      </w:r>
      <w:r>
        <w:rPr>
          <w:rFonts w:ascii="Arial" w:hAnsi="Arial" w:cs="Arial"/>
        </w:rPr>
        <w:t xml:space="preserve">and </w:t>
      </w:r>
      <w:r w:rsidRPr="00C64F3C">
        <w:rPr>
          <w:rFonts w:ascii="Arial" w:hAnsi="Arial" w:cs="Arial"/>
        </w:rPr>
        <w:t>new actions for the future.</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pStyle w:val="Heading1"/>
        <w:rPr>
          <w:rFonts w:ascii="Arial" w:hAnsi="Arial" w:cs="Arial"/>
          <w:color w:val="auto"/>
        </w:rPr>
      </w:pPr>
      <w:bookmarkStart w:id="2" w:name="_Toc206756752"/>
      <w:r w:rsidRPr="00C64F3C">
        <w:rPr>
          <w:rFonts w:ascii="Arial" w:hAnsi="Arial" w:cs="Arial"/>
          <w:color w:val="auto"/>
        </w:rPr>
        <w:t>2. Implementation</w:t>
      </w:r>
      <w:bookmarkEnd w:id="2"/>
      <w:r w:rsidRPr="00C64F3C">
        <w:rPr>
          <w:rFonts w:ascii="Arial" w:hAnsi="Arial" w:cs="Arial"/>
          <w:color w:val="auto"/>
        </w:rPr>
        <w:t xml:space="preserve"> </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r w:rsidRPr="00C64F3C">
        <w:rPr>
          <w:rFonts w:ascii="Arial" w:hAnsi="Arial" w:cs="Arial"/>
        </w:rPr>
        <w:t>Stratford East’s Environmental Policy is a statement of our commitment to help reduce the impact of our activities on the environment.</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r w:rsidRPr="00C64F3C">
        <w:rPr>
          <w:rFonts w:ascii="Arial" w:hAnsi="Arial" w:cs="Arial"/>
        </w:rPr>
        <w:lastRenderedPageBreak/>
        <w:t>The policy is supported by an Environmental Action Plan which specifies how the policy will be implemented, complete with targets, dates and a named person responsible for delivering it.</w:t>
      </w:r>
    </w:p>
    <w:p w:rsidR="00C64F3C" w:rsidRPr="00C64F3C" w:rsidRDefault="00C64F3C" w:rsidP="00C64F3C">
      <w:pPr>
        <w:tabs>
          <w:tab w:val="left" w:pos="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tabs>
          <w:tab w:val="left" w:pos="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r w:rsidRPr="00C64F3C">
        <w:rPr>
          <w:rFonts w:ascii="Arial" w:hAnsi="Arial" w:cs="Arial"/>
        </w:rPr>
        <w:t xml:space="preserve">Working with our staff, artists and audience we aim to consider and communicate the environmental impacts of our activities. For each financial year we will assess and report our environmental performance to stakeholders. This information will be used to update our action plan for the coming year. </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autoSpaceDE w:val="0"/>
        <w:autoSpaceDN w:val="0"/>
        <w:adjustRightInd w:val="0"/>
        <w:rPr>
          <w:rFonts w:ascii="Arial" w:hAnsi="Arial" w:cs="Arial"/>
        </w:rPr>
      </w:pPr>
      <w:r w:rsidRPr="00C64F3C">
        <w:rPr>
          <w:rFonts w:ascii="Arial" w:hAnsi="Arial" w:cs="Arial"/>
        </w:rPr>
        <w:t xml:space="preserve">We aim to regularly review our Environmental Action Plan and seek to reduce our impact by setting carbon reduction targets. </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pStyle w:val="Heading1"/>
        <w:rPr>
          <w:rFonts w:ascii="Arial" w:hAnsi="Arial" w:cs="Arial"/>
          <w:color w:val="auto"/>
        </w:rPr>
      </w:pPr>
      <w:bookmarkStart w:id="3" w:name="_Toc206756753"/>
      <w:r w:rsidRPr="00C64F3C">
        <w:rPr>
          <w:rFonts w:ascii="Arial" w:hAnsi="Arial" w:cs="Arial"/>
          <w:color w:val="auto"/>
        </w:rPr>
        <w:t>3. Scope of Policy</w:t>
      </w:r>
      <w:bookmarkEnd w:id="3"/>
    </w:p>
    <w:p w:rsidR="00C64F3C" w:rsidRPr="00C64F3C" w:rsidRDefault="00C64F3C" w:rsidP="00C64F3C">
      <w:pPr>
        <w:pStyle w:val="TableContent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rPr>
      </w:pPr>
      <w:r w:rsidRPr="00C64F3C">
        <w:rPr>
          <w:rFonts w:ascii="Arial" w:hAnsi="Arial" w:cs="Arial"/>
        </w:rPr>
        <w:t>Our activities have environmental impacts in the areas of:</w:t>
      </w:r>
    </w:p>
    <w:p w:rsidR="00C64F3C" w:rsidRPr="00C64F3C" w:rsidRDefault="00C64F3C" w:rsidP="00C64F3C">
      <w:pPr>
        <w:pStyle w:val="TableContent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rPr>
      </w:pPr>
    </w:p>
    <w:tbl>
      <w:tblPr>
        <w:tblW w:w="8080" w:type="dxa"/>
        <w:tblLayout w:type="fixed"/>
        <w:tblCellMar>
          <w:left w:w="0" w:type="dxa"/>
          <w:right w:w="0" w:type="dxa"/>
        </w:tblCellMar>
        <w:tblLook w:val="0000" w:firstRow="0" w:lastRow="0" w:firstColumn="0" w:lastColumn="0" w:noHBand="0" w:noVBand="0"/>
      </w:tblPr>
      <w:tblGrid>
        <w:gridCol w:w="1412"/>
        <w:gridCol w:w="1412"/>
        <w:gridCol w:w="1412"/>
        <w:gridCol w:w="1412"/>
        <w:gridCol w:w="1412"/>
        <w:gridCol w:w="1020"/>
      </w:tblGrid>
      <w:tr w:rsidR="00C64F3C" w:rsidRPr="00C64F3C" w:rsidTr="00C64F3C">
        <w:trPr>
          <w:trHeight w:val="585"/>
        </w:trPr>
        <w:tc>
          <w:tcPr>
            <w:tcW w:w="1412" w:type="dxa"/>
          </w:tcPr>
          <w:p w:rsidR="00C64F3C" w:rsidRPr="00C64F3C" w:rsidRDefault="00C64F3C" w:rsidP="00C64F3C">
            <w:pPr>
              <w:pStyle w:val="TableContents"/>
              <w:snapToGrid w:val="0"/>
              <w:rPr>
                <w:rFonts w:ascii="Arial" w:hAnsi="Arial" w:cs="Arial"/>
                <w:b/>
                <w:bCs/>
              </w:rPr>
            </w:pPr>
          </w:p>
        </w:tc>
        <w:tc>
          <w:tcPr>
            <w:tcW w:w="1412" w:type="dxa"/>
          </w:tcPr>
          <w:p w:rsidR="00C64F3C" w:rsidRPr="00C64F3C" w:rsidRDefault="00C64F3C" w:rsidP="00D43EF2">
            <w:pPr>
              <w:pStyle w:val="TableContents"/>
              <w:snapToGrid w:val="0"/>
              <w:rPr>
                <w:rFonts w:ascii="Arial" w:hAnsi="Arial" w:cs="Arial"/>
                <w:b/>
                <w:bCs/>
              </w:rPr>
            </w:pPr>
            <w:r w:rsidRPr="00C64F3C">
              <w:rPr>
                <w:rFonts w:ascii="Arial" w:hAnsi="Arial" w:cs="Arial"/>
                <w:b/>
                <w:bCs/>
                <w:sz w:val="22"/>
                <w:szCs w:val="22"/>
              </w:rPr>
              <w:t>Energy</w:t>
            </w:r>
          </w:p>
        </w:tc>
        <w:tc>
          <w:tcPr>
            <w:tcW w:w="1412" w:type="dxa"/>
          </w:tcPr>
          <w:p w:rsidR="00C64F3C" w:rsidRPr="00C64F3C" w:rsidRDefault="00C64F3C" w:rsidP="00D43EF2">
            <w:pPr>
              <w:pStyle w:val="TableContents"/>
              <w:snapToGrid w:val="0"/>
              <w:rPr>
                <w:rFonts w:ascii="Arial" w:hAnsi="Arial" w:cs="Arial"/>
                <w:b/>
                <w:bCs/>
              </w:rPr>
            </w:pPr>
            <w:r w:rsidRPr="00C64F3C">
              <w:rPr>
                <w:rFonts w:ascii="Arial" w:hAnsi="Arial" w:cs="Arial"/>
                <w:b/>
                <w:bCs/>
                <w:sz w:val="22"/>
                <w:szCs w:val="22"/>
              </w:rPr>
              <w:t>Water</w:t>
            </w:r>
          </w:p>
        </w:tc>
        <w:tc>
          <w:tcPr>
            <w:tcW w:w="1412" w:type="dxa"/>
          </w:tcPr>
          <w:p w:rsidR="00C64F3C" w:rsidRPr="00C64F3C" w:rsidRDefault="00C64F3C" w:rsidP="00D43EF2">
            <w:pPr>
              <w:pStyle w:val="TableContents"/>
              <w:snapToGrid w:val="0"/>
              <w:rPr>
                <w:rFonts w:ascii="Arial" w:hAnsi="Arial" w:cs="Arial"/>
                <w:b/>
                <w:bCs/>
              </w:rPr>
            </w:pPr>
            <w:r w:rsidRPr="00C64F3C">
              <w:rPr>
                <w:rFonts w:ascii="Arial" w:hAnsi="Arial" w:cs="Arial"/>
                <w:b/>
                <w:bCs/>
                <w:sz w:val="22"/>
                <w:szCs w:val="22"/>
              </w:rPr>
              <w:t>Waste</w:t>
            </w:r>
          </w:p>
        </w:tc>
        <w:tc>
          <w:tcPr>
            <w:tcW w:w="1412" w:type="dxa"/>
          </w:tcPr>
          <w:p w:rsidR="00C64F3C" w:rsidRPr="00C64F3C" w:rsidRDefault="00C64F3C" w:rsidP="00D43EF2">
            <w:pPr>
              <w:pStyle w:val="TableContents"/>
              <w:snapToGrid w:val="0"/>
              <w:rPr>
                <w:rFonts w:ascii="Arial" w:hAnsi="Arial" w:cs="Arial"/>
                <w:b/>
                <w:bCs/>
              </w:rPr>
            </w:pPr>
            <w:r w:rsidRPr="00C64F3C">
              <w:rPr>
                <w:rFonts w:ascii="Arial" w:hAnsi="Arial" w:cs="Arial"/>
                <w:b/>
                <w:bCs/>
                <w:sz w:val="22"/>
                <w:szCs w:val="22"/>
              </w:rPr>
              <w:t xml:space="preserve">Travel </w:t>
            </w:r>
          </w:p>
        </w:tc>
        <w:tc>
          <w:tcPr>
            <w:tcW w:w="1020" w:type="dxa"/>
            <w:shd w:val="clear" w:color="auto" w:fill="auto"/>
          </w:tcPr>
          <w:p w:rsidR="00C64F3C" w:rsidRPr="00C64F3C" w:rsidRDefault="00C64F3C" w:rsidP="00D43EF2">
            <w:pPr>
              <w:pStyle w:val="TableContents"/>
              <w:snapToGrid w:val="0"/>
              <w:jc w:val="center"/>
              <w:rPr>
                <w:rFonts w:ascii="Arial" w:hAnsi="Arial" w:cs="Arial"/>
                <w:b/>
                <w:bCs/>
              </w:rPr>
            </w:pPr>
            <w:r w:rsidRPr="00C64F3C">
              <w:rPr>
                <w:rFonts w:ascii="Arial" w:hAnsi="Arial" w:cs="Arial"/>
                <w:b/>
                <w:bCs/>
                <w:sz w:val="22"/>
                <w:szCs w:val="22"/>
              </w:rPr>
              <w:t>Materials</w:t>
            </w:r>
          </w:p>
        </w:tc>
      </w:tr>
    </w:tbl>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r w:rsidRPr="00C64F3C">
        <w:rPr>
          <w:rFonts w:ascii="Arial" w:hAnsi="Arial" w:cs="Arial"/>
        </w:rPr>
        <w:t>Our ability to improve our environmental impacts depends on our knowledge of, and commitment to addressing them and our capacity to change and influence decisions. We are fully responsible for utility contracts and therefore we will exert our efforts as much as possible to understand; measure; improve; and communicate our environmental performance.</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C64F3C" w:rsidRPr="00C64F3C" w:rsidRDefault="00C64F3C" w:rsidP="00C64F3C">
      <w:pPr>
        <w:pStyle w:val="Heading1"/>
        <w:rPr>
          <w:rFonts w:ascii="Arial" w:hAnsi="Arial" w:cs="Arial"/>
          <w:color w:val="auto"/>
        </w:rPr>
      </w:pPr>
      <w:bookmarkStart w:id="4" w:name="_Toc206756754"/>
      <w:r w:rsidRPr="00C64F3C">
        <w:rPr>
          <w:rFonts w:ascii="Arial" w:hAnsi="Arial" w:cs="Arial"/>
          <w:color w:val="auto"/>
        </w:rPr>
        <w:t>4. Key Environmental Impacts</w:t>
      </w:r>
      <w:bookmarkEnd w:id="4"/>
    </w:p>
    <w:p w:rsidR="00C64F3C" w:rsidRPr="00C64F3C" w:rsidRDefault="00C64F3C" w:rsidP="00C64F3C">
      <w:pPr>
        <w:pStyle w:val="Heading2"/>
        <w:ind w:left="720"/>
        <w:rPr>
          <w:rFonts w:ascii="Arial" w:hAnsi="Arial" w:cs="Arial"/>
          <w:color w:val="auto"/>
        </w:rPr>
      </w:pPr>
      <w:bookmarkStart w:id="5" w:name="_Toc206756755"/>
      <w:r w:rsidRPr="00C64F3C">
        <w:rPr>
          <w:rFonts w:ascii="Arial" w:hAnsi="Arial" w:cs="Arial"/>
          <w:color w:val="auto"/>
        </w:rPr>
        <w:t>4.1 Theatre Building</w:t>
      </w:r>
      <w:bookmarkEnd w:id="5"/>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The main impacts from our building are from electricity and gas consumption. Our consumption of electricity and gas is similar, but electricity is more than twice as carbon intensive.</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 </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Primary environmental impacts are:</w:t>
      </w:r>
    </w:p>
    <w:p w:rsidR="00C64F3C" w:rsidRPr="00C64F3C" w:rsidRDefault="00C64F3C" w:rsidP="00C64F3C">
      <w:pPr>
        <w:numPr>
          <w:ilvl w:val="0"/>
          <w:numId w:val="1"/>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Fossil-fuel energy consumption</w:t>
      </w:r>
    </w:p>
    <w:p w:rsidR="00C64F3C" w:rsidRPr="00C64F3C" w:rsidRDefault="00C64F3C" w:rsidP="00C64F3C">
      <w:pPr>
        <w:numPr>
          <w:ilvl w:val="0"/>
          <w:numId w:val="1"/>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Water consumption</w:t>
      </w:r>
    </w:p>
    <w:p w:rsidR="00C64F3C" w:rsidRPr="00C64F3C" w:rsidRDefault="00C64F3C" w:rsidP="00C64F3C">
      <w:pPr>
        <w:numPr>
          <w:ilvl w:val="0"/>
          <w:numId w:val="1"/>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Waste generation</w:t>
      </w:r>
    </w:p>
    <w:p w:rsidR="00C64F3C" w:rsidRPr="00C64F3C" w:rsidRDefault="00C64F3C" w:rsidP="00C64F3C">
      <w:pPr>
        <w:numPr>
          <w:ilvl w:val="0"/>
          <w:numId w:val="1"/>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 xml:space="preserve">Office supplies and services (see 4.5.1 and 4.5.2) </w:t>
      </w:r>
    </w:p>
    <w:p w:rsidR="00C64F3C" w:rsidRPr="00C64F3C" w:rsidRDefault="00C64F3C" w:rsidP="00C64F3C">
      <w:pPr>
        <w:pStyle w:val="Heading2"/>
        <w:ind w:left="720"/>
        <w:rPr>
          <w:rFonts w:ascii="Arial" w:hAnsi="Arial" w:cs="Arial"/>
          <w:color w:val="auto"/>
        </w:rPr>
      </w:pPr>
      <w:bookmarkStart w:id="6" w:name="_Toc206756756"/>
      <w:r w:rsidRPr="00C64F3C">
        <w:rPr>
          <w:rFonts w:ascii="Arial" w:hAnsi="Arial" w:cs="Arial"/>
          <w:color w:val="auto"/>
        </w:rPr>
        <w:t>4.2 Business Travel and Staff Commuting</w:t>
      </w:r>
      <w:bookmarkEnd w:id="6"/>
    </w:p>
    <w:p w:rsid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We have a limited control over our staff commuting habits, but we have very limited onsite parking and are well connected by public transport links.  We also encourage cycling by facilitating bike storage and offering the government’s tax relief scheme on buying bikes.</w:t>
      </w:r>
    </w:p>
    <w:p w:rsidR="00363DB3" w:rsidRDefault="00363DB3"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p>
    <w:p w:rsidR="00363DB3" w:rsidRPr="00C64F3C" w:rsidRDefault="00363DB3"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 xml:space="preserve">We rarely tour or work with international artists and generally employ artists </w:t>
      </w:r>
      <w:r w:rsidRPr="00C64F3C">
        <w:rPr>
          <w:rFonts w:ascii="Arial" w:hAnsi="Arial" w:cs="Arial"/>
        </w:rPr>
        <w:lastRenderedPageBreak/>
        <w:t>locally so our environmental impacts are limited in this respect.</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 xml:space="preserve">We do have full control over our employees business travel and encourage the use of public transport wherever possible.  Our business travel impacts are relatively </w:t>
      </w:r>
      <w:proofErr w:type="gramStart"/>
      <w:r w:rsidRPr="00C64F3C">
        <w:rPr>
          <w:rFonts w:ascii="Arial" w:hAnsi="Arial" w:cs="Arial"/>
        </w:rPr>
        <w:t>small,</w:t>
      </w:r>
      <w:proofErr w:type="gramEnd"/>
      <w:r w:rsidRPr="00C64F3C">
        <w:rPr>
          <w:rFonts w:ascii="Arial" w:hAnsi="Arial" w:cs="Arial"/>
        </w:rPr>
        <w:t xml:space="preserve"> most travel is associated with our Artistic Director.</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Primary environmental impacts are:</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Fossil fuel energy consumption</w:t>
      </w:r>
    </w:p>
    <w:p w:rsidR="00C64F3C" w:rsidRPr="00C64F3C" w:rsidRDefault="00C64F3C" w:rsidP="00C64F3C">
      <w:pPr>
        <w:pStyle w:val="Heading2"/>
        <w:ind w:left="720"/>
        <w:rPr>
          <w:rFonts w:ascii="Arial" w:hAnsi="Arial" w:cs="Arial"/>
          <w:color w:val="auto"/>
        </w:rPr>
      </w:pPr>
      <w:bookmarkStart w:id="7" w:name="_Toc206756757"/>
      <w:r w:rsidRPr="00C64F3C">
        <w:rPr>
          <w:rFonts w:ascii="Arial" w:hAnsi="Arial" w:cs="Arial"/>
          <w:color w:val="auto"/>
        </w:rPr>
        <w:t>4.3 Stake</w:t>
      </w:r>
      <w:r w:rsidR="00363DB3">
        <w:rPr>
          <w:rFonts w:ascii="Arial" w:hAnsi="Arial" w:cs="Arial"/>
          <w:color w:val="auto"/>
        </w:rPr>
        <w:t xml:space="preserve">holder travel (i.e. </w:t>
      </w:r>
      <w:r w:rsidRPr="00C64F3C">
        <w:rPr>
          <w:rFonts w:ascii="Arial" w:hAnsi="Arial" w:cs="Arial"/>
          <w:color w:val="auto"/>
        </w:rPr>
        <w:t>audience)</w:t>
      </w:r>
      <w:bookmarkEnd w:id="7"/>
    </w:p>
    <w:p w:rsidR="00C64F3C" w:rsidRPr="00C64F3C" w:rsidRDefault="00C64F3C" w:rsidP="00C64F3C">
      <w:pPr>
        <w:ind w:left="720"/>
        <w:rPr>
          <w:rFonts w:ascii="Arial" w:hAnsi="Arial" w:cs="Arial"/>
        </w:rPr>
      </w:pPr>
      <w:r w:rsidRPr="00C64F3C">
        <w:rPr>
          <w:rFonts w:ascii="Arial" w:hAnsi="Arial" w:cs="Arial"/>
        </w:rPr>
        <w:t xml:space="preserve">We are well serviced by public transport links - therefore this should provide a good incentive to encourage people to use public transport to attend our shows. </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Primary environmental impacts are:</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Fossil fuel energy consumption</w:t>
      </w:r>
    </w:p>
    <w:p w:rsidR="00C64F3C" w:rsidRPr="00C64F3C" w:rsidRDefault="00C64F3C" w:rsidP="00C64F3C">
      <w:pPr>
        <w:pStyle w:val="Heading2"/>
        <w:ind w:left="720"/>
        <w:rPr>
          <w:rFonts w:ascii="Arial" w:hAnsi="Arial" w:cs="Arial"/>
          <w:color w:val="auto"/>
        </w:rPr>
      </w:pPr>
      <w:bookmarkStart w:id="8" w:name="_Toc206756758"/>
      <w:r w:rsidRPr="00C64F3C">
        <w:rPr>
          <w:rFonts w:ascii="Arial" w:hAnsi="Arial" w:cs="Arial"/>
          <w:color w:val="auto"/>
        </w:rPr>
        <w:t>4.4 Productions</w:t>
      </w:r>
      <w:bookmarkEnd w:id="8"/>
    </w:p>
    <w:p w:rsidR="00C64F3C" w:rsidRPr="00C64F3C" w:rsidRDefault="00C64F3C" w:rsidP="00C64F3C">
      <w:pPr>
        <w:ind w:left="720"/>
        <w:rPr>
          <w:rFonts w:ascii="Arial" w:hAnsi="Arial" w:cs="Arial"/>
        </w:rPr>
      </w:pPr>
      <w:r w:rsidRPr="00C64F3C">
        <w:rPr>
          <w:rFonts w:ascii="Arial" w:hAnsi="Arial" w:cs="Arial"/>
        </w:rPr>
        <w:t>Our productions and events may involve the use of materials for staging and/or props. They may also involve the use of lighting and sound.</w:t>
      </w:r>
    </w:p>
    <w:p w:rsidR="00C64F3C" w:rsidRPr="00C64F3C" w:rsidRDefault="00C64F3C" w:rsidP="00C64F3C">
      <w:pPr>
        <w:ind w:left="720"/>
        <w:rPr>
          <w:rFonts w:ascii="Arial" w:hAnsi="Arial" w:cs="Arial"/>
        </w:rPr>
      </w:pPr>
    </w:p>
    <w:p w:rsidR="00C64F3C" w:rsidRPr="00C64F3C" w:rsidRDefault="00C64F3C" w:rsidP="00C64F3C">
      <w:pPr>
        <w:ind w:left="720"/>
        <w:rPr>
          <w:rFonts w:ascii="Arial" w:hAnsi="Arial" w:cs="Arial"/>
        </w:rPr>
      </w:pPr>
      <w:r w:rsidRPr="00C64F3C">
        <w:rPr>
          <w:rFonts w:ascii="Arial" w:hAnsi="Arial" w:cs="Arial"/>
        </w:rPr>
        <w:t>Primary environmental impacts are caused by:</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color w:val="000000"/>
        </w:rPr>
      </w:pPr>
      <w:r w:rsidRPr="00C64F3C">
        <w:rPr>
          <w:rFonts w:ascii="Arial" w:hAnsi="Arial" w:cs="Arial"/>
          <w:color w:val="000000"/>
        </w:rPr>
        <w:t>Fossil fuel energy consumption</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color w:val="000000"/>
        </w:rPr>
      </w:pPr>
      <w:r w:rsidRPr="00C64F3C">
        <w:rPr>
          <w:rFonts w:ascii="Arial" w:hAnsi="Arial" w:cs="Arial"/>
          <w:color w:val="000000"/>
        </w:rPr>
        <w:t>Waste generation</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color w:val="000000"/>
        </w:rPr>
      </w:pPr>
      <w:r w:rsidRPr="00C64F3C">
        <w:rPr>
          <w:rFonts w:ascii="Arial" w:hAnsi="Arial" w:cs="Arial"/>
          <w:color w:val="000000"/>
        </w:rPr>
        <w:t>Use of materials e.g. wood, steel</w:t>
      </w:r>
    </w:p>
    <w:p w:rsidR="00C64F3C" w:rsidRPr="00C64F3C" w:rsidRDefault="00C64F3C" w:rsidP="00C64F3C">
      <w:pPr>
        <w:numPr>
          <w:ilvl w:val="0"/>
          <w:numId w:val="2"/>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color w:val="000000"/>
        </w:rPr>
      </w:pPr>
      <w:r w:rsidRPr="00C64F3C">
        <w:rPr>
          <w:rFonts w:ascii="Arial" w:hAnsi="Arial" w:cs="Arial"/>
          <w:color w:val="000000"/>
        </w:rPr>
        <w:t xml:space="preserve">Toxicity of batteries </w:t>
      </w:r>
    </w:p>
    <w:p w:rsidR="00C64F3C" w:rsidRPr="00C64F3C" w:rsidRDefault="00C64F3C" w:rsidP="00C64F3C">
      <w:pPr>
        <w:pStyle w:val="Heading2"/>
        <w:ind w:left="720"/>
        <w:rPr>
          <w:rFonts w:ascii="Arial" w:hAnsi="Arial" w:cs="Arial"/>
          <w:color w:val="auto"/>
        </w:rPr>
      </w:pPr>
      <w:bookmarkStart w:id="9" w:name="_Toc206756759"/>
      <w:r w:rsidRPr="00C64F3C">
        <w:rPr>
          <w:rFonts w:ascii="Arial" w:hAnsi="Arial" w:cs="Arial"/>
          <w:color w:val="auto"/>
        </w:rPr>
        <w:t>4.5 Goods and Services Procurement</w:t>
      </w:r>
      <w:bookmarkStart w:id="10" w:name="_Toc206756760"/>
      <w:bookmarkEnd w:id="9"/>
    </w:p>
    <w:p w:rsidR="00C64F3C" w:rsidRPr="00C64F3C" w:rsidRDefault="00C64F3C" w:rsidP="00C64F3C">
      <w:pPr>
        <w:pStyle w:val="Heading2"/>
        <w:ind w:left="720"/>
        <w:rPr>
          <w:rFonts w:ascii="Arial" w:hAnsi="Arial" w:cs="Arial"/>
          <w:color w:val="auto"/>
          <w:sz w:val="24"/>
          <w:szCs w:val="24"/>
        </w:rPr>
      </w:pPr>
      <w:r w:rsidRPr="00C64F3C">
        <w:rPr>
          <w:rFonts w:ascii="Arial" w:hAnsi="Arial" w:cs="Arial"/>
          <w:color w:val="auto"/>
          <w:sz w:val="24"/>
          <w:szCs w:val="24"/>
        </w:rPr>
        <w:t>4.5.1 Office Supplies</w:t>
      </w:r>
      <w:bookmarkEnd w:id="10"/>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A few goods and services are procured to run our office operations and each has an environmental impact.</w:t>
      </w: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Primary environmental impacts are caused by:</w:t>
      </w:r>
    </w:p>
    <w:p w:rsidR="00C64F3C" w:rsidRPr="00C64F3C" w:rsidRDefault="00C64F3C" w:rsidP="00C64F3C">
      <w:pPr>
        <w:numPr>
          <w:ilvl w:val="0"/>
          <w:numId w:val="4"/>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Resource use for office electronic equipment, furniture and stationery</w:t>
      </w:r>
    </w:p>
    <w:p w:rsidR="00C64F3C" w:rsidRPr="00C64F3C" w:rsidRDefault="00C64F3C" w:rsidP="00C64F3C">
      <w:pPr>
        <w:numPr>
          <w:ilvl w:val="0"/>
          <w:numId w:val="4"/>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Toxicity of cleaning products, furniture and equipment</w:t>
      </w:r>
    </w:p>
    <w:p w:rsidR="00C64F3C" w:rsidRPr="00C64F3C" w:rsidRDefault="00C64F3C" w:rsidP="00C64F3C">
      <w:pPr>
        <w:pStyle w:val="Heading3"/>
        <w:ind w:left="720"/>
        <w:rPr>
          <w:rFonts w:ascii="Arial" w:hAnsi="Arial" w:cs="Arial"/>
          <w:color w:val="auto"/>
        </w:rPr>
      </w:pPr>
      <w:bookmarkStart w:id="11" w:name="_Toc206756761"/>
      <w:r w:rsidRPr="00C64F3C">
        <w:rPr>
          <w:rFonts w:ascii="Arial" w:hAnsi="Arial" w:cs="Arial"/>
          <w:color w:val="auto"/>
        </w:rPr>
        <w:t>4.5.2 Other</w:t>
      </w:r>
      <w:bookmarkEnd w:id="11"/>
    </w:p>
    <w:p w:rsidR="00C64F3C" w:rsidRPr="00C64F3C" w:rsidRDefault="00C64F3C" w:rsidP="00C64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Arial" w:hAnsi="Arial" w:cs="Arial"/>
        </w:rPr>
      </w:pPr>
      <w:r w:rsidRPr="00C64F3C">
        <w:rPr>
          <w:rFonts w:ascii="Arial" w:hAnsi="Arial" w:cs="Arial"/>
        </w:rPr>
        <w:t>In addition to the goods and services outlined above, two less visible areas for consideration are:</w:t>
      </w:r>
    </w:p>
    <w:p w:rsidR="00C64F3C" w:rsidRPr="00C64F3C" w:rsidRDefault="00C64F3C" w:rsidP="00C64F3C">
      <w:pPr>
        <w:numPr>
          <w:ilvl w:val="0"/>
          <w:numId w:val="3"/>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Banking</w:t>
      </w:r>
    </w:p>
    <w:p w:rsidR="00C64F3C" w:rsidRPr="00C64F3C" w:rsidRDefault="00C64F3C" w:rsidP="00C64F3C">
      <w:pPr>
        <w:numPr>
          <w:ilvl w:val="0"/>
          <w:numId w:val="3"/>
        </w:numPr>
        <w:tabs>
          <w:tab w:val="clear" w:pos="72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ind w:left="1440"/>
        <w:jc w:val="both"/>
        <w:rPr>
          <w:rFonts w:ascii="Arial" w:hAnsi="Arial" w:cs="Arial"/>
        </w:rPr>
      </w:pPr>
      <w:r w:rsidRPr="00C64F3C">
        <w:rPr>
          <w:rFonts w:ascii="Arial" w:hAnsi="Arial" w:cs="Arial"/>
        </w:rPr>
        <w:t>Server hosting of the website and email accounts</w:t>
      </w:r>
    </w:p>
    <w:p w:rsidR="00CC4957" w:rsidRDefault="00CC4957" w:rsidP="00CC4957"/>
    <w:p w:rsidR="00CC4957" w:rsidRPr="00C64F3C" w:rsidRDefault="00CC4957" w:rsidP="00CC4957"/>
    <w:sectPr w:rsidR="00CC4957" w:rsidRPr="00C64F3C" w:rsidSect="00B313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F2" w:rsidRDefault="00D43EF2" w:rsidP="00C64F3C">
      <w:r>
        <w:separator/>
      </w:r>
    </w:p>
  </w:endnote>
  <w:endnote w:type="continuationSeparator" w:id="0">
    <w:p w:rsidR="00D43EF2" w:rsidRDefault="00D43EF2" w:rsidP="00C6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ill Sans">
    <w:altName w:val="Segoe UI"/>
    <w:charset w:val="00"/>
    <w:family w:val="auto"/>
    <w:pitch w:val="variable"/>
    <w:sig w:usb0="00000000"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689"/>
      <w:docPartObj>
        <w:docPartGallery w:val="Page Numbers (Bottom of Page)"/>
        <w:docPartUnique/>
      </w:docPartObj>
    </w:sdtPr>
    <w:sdtEndPr>
      <w:rPr>
        <w:color w:val="7F7F7F" w:themeColor="background1" w:themeShade="7F"/>
        <w:spacing w:val="60"/>
      </w:rPr>
    </w:sdtEndPr>
    <w:sdtContent>
      <w:p w:rsidR="00D43EF2" w:rsidRDefault="00C53E05">
        <w:pPr>
          <w:pStyle w:val="Footer"/>
          <w:pBdr>
            <w:top w:val="single" w:sz="4" w:space="1" w:color="D9D9D9" w:themeColor="background1" w:themeShade="D9"/>
          </w:pBdr>
          <w:rPr>
            <w:b/>
          </w:rPr>
        </w:pPr>
        <w:r>
          <w:fldChar w:fldCharType="begin"/>
        </w:r>
        <w:r>
          <w:instrText xml:space="preserve"> PAGE   \* MERGEFORMAT </w:instrText>
        </w:r>
        <w:r>
          <w:fldChar w:fldCharType="separate"/>
        </w:r>
        <w:r w:rsidRPr="00C53E05">
          <w:rPr>
            <w:b/>
            <w:noProof/>
          </w:rPr>
          <w:t>3</w:t>
        </w:r>
        <w:r>
          <w:rPr>
            <w:b/>
            <w:noProof/>
          </w:rPr>
          <w:fldChar w:fldCharType="end"/>
        </w:r>
        <w:r w:rsidR="00D43EF2">
          <w:rPr>
            <w:b/>
          </w:rPr>
          <w:t xml:space="preserve"> | </w:t>
        </w:r>
        <w:r w:rsidR="00D43EF2">
          <w:rPr>
            <w:color w:val="7F7F7F" w:themeColor="background1" w:themeShade="7F"/>
            <w:spacing w:val="60"/>
          </w:rPr>
          <w:t>Page</w:t>
        </w:r>
      </w:p>
    </w:sdtContent>
  </w:sdt>
  <w:p w:rsidR="00D43EF2" w:rsidRDefault="00D43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F2" w:rsidRDefault="00D43EF2" w:rsidP="00C64F3C">
      <w:r>
        <w:separator/>
      </w:r>
    </w:p>
  </w:footnote>
  <w:footnote w:type="continuationSeparator" w:id="0">
    <w:p w:rsidR="00D43EF2" w:rsidRDefault="00D43EF2" w:rsidP="00C6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F2" w:rsidRDefault="00D43EF2" w:rsidP="00C41026">
    <w:pPr>
      <w:pStyle w:val="Header"/>
      <w:jc w:val="center"/>
    </w:pPr>
    <w:r>
      <w:t>THEATRE ROYAL STRATFORD EAST ENVIRONMENTAL POLICY</w:t>
    </w:r>
  </w:p>
  <w:p w:rsidR="00D43EF2" w:rsidRDefault="00D43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3C"/>
    <w:rsid w:val="00363DB3"/>
    <w:rsid w:val="00B313FA"/>
    <w:rsid w:val="00C01DE0"/>
    <w:rsid w:val="00C41026"/>
    <w:rsid w:val="00C53E05"/>
    <w:rsid w:val="00C64F3C"/>
    <w:rsid w:val="00CC4957"/>
    <w:rsid w:val="00D43EF2"/>
    <w:rsid w:val="00ED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3C"/>
    <w:pPr>
      <w:widowControl w:val="0"/>
      <w:suppressAutoHyphens/>
      <w:spacing w:after="0" w:line="240" w:lineRule="auto"/>
    </w:pPr>
    <w:rPr>
      <w:rFonts w:ascii="Times New Roman" w:eastAsia="SimSun" w:hAnsi="Times New Roman" w:cs="Tahoma"/>
      <w:kern w:val="1"/>
      <w:sz w:val="24"/>
      <w:szCs w:val="24"/>
      <w:lang w:val="en-GB" w:eastAsia="hi-IN" w:bidi="hi-IN"/>
    </w:rPr>
  </w:style>
  <w:style w:type="paragraph" w:styleId="Heading1">
    <w:name w:val="heading 1"/>
    <w:basedOn w:val="Normal"/>
    <w:next w:val="Normal"/>
    <w:link w:val="Heading1Char"/>
    <w:uiPriority w:val="9"/>
    <w:qFormat/>
    <w:rsid w:val="00C64F3C"/>
    <w:pPr>
      <w:keepNext/>
      <w:spacing w:before="240" w:after="60"/>
      <w:outlineLvl w:val="0"/>
    </w:pPr>
    <w:rPr>
      <w:rFonts w:ascii="Calibri" w:eastAsia="MS Gothic" w:hAnsi="Calibri" w:cs="Times New Roman"/>
      <w:b/>
      <w:bCs/>
      <w:color w:val="DC0000"/>
      <w:kern w:val="32"/>
      <w:sz w:val="32"/>
      <w:szCs w:val="32"/>
    </w:rPr>
  </w:style>
  <w:style w:type="paragraph" w:styleId="Heading2">
    <w:name w:val="heading 2"/>
    <w:basedOn w:val="Normal"/>
    <w:next w:val="Normal"/>
    <w:link w:val="Heading2Char"/>
    <w:uiPriority w:val="9"/>
    <w:unhideWhenUsed/>
    <w:qFormat/>
    <w:rsid w:val="00C64F3C"/>
    <w:pPr>
      <w:keepNext/>
      <w:spacing w:before="240" w:after="60"/>
      <w:outlineLvl w:val="1"/>
    </w:pPr>
    <w:rPr>
      <w:rFonts w:ascii="Calibri" w:eastAsia="MS Gothic" w:hAnsi="Calibri" w:cs="Times New Roman"/>
      <w:b/>
      <w:bCs/>
      <w:iCs/>
      <w:color w:val="DC0000"/>
      <w:sz w:val="32"/>
      <w:szCs w:val="28"/>
    </w:rPr>
  </w:style>
  <w:style w:type="paragraph" w:styleId="Heading3">
    <w:name w:val="heading 3"/>
    <w:basedOn w:val="Normal"/>
    <w:next w:val="Normal"/>
    <w:link w:val="Heading3Char"/>
    <w:uiPriority w:val="9"/>
    <w:unhideWhenUsed/>
    <w:qFormat/>
    <w:rsid w:val="00C64F3C"/>
    <w:pPr>
      <w:keepNext/>
      <w:spacing w:before="240" w:after="60"/>
      <w:outlineLvl w:val="2"/>
    </w:pPr>
    <w:rPr>
      <w:rFonts w:ascii="Calibri" w:eastAsia="MS Gothic" w:hAnsi="Calibri" w:cs="Times New Roman"/>
      <w:b/>
      <w:bCs/>
      <w:color w:val="DC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3C"/>
    <w:rPr>
      <w:rFonts w:ascii="Calibri" w:eastAsia="MS Gothic" w:hAnsi="Calibri" w:cs="Times New Roman"/>
      <w:b/>
      <w:bCs/>
      <w:color w:val="DC0000"/>
      <w:kern w:val="32"/>
      <w:sz w:val="32"/>
      <w:szCs w:val="32"/>
      <w:lang w:eastAsia="hi-IN" w:bidi="hi-IN"/>
    </w:rPr>
  </w:style>
  <w:style w:type="character" w:customStyle="1" w:styleId="Heading2Char">
    <w:name w:val="Heading 2 Char"/>
    <w:basedOn w:val="DefaultParagraphFont"/>
    <w:link w:val="Heading2"/>
    <w:uiPriority w:val="9"/>
    <w:rsid w:val="00C64F3C"/>
    <w:rPr>
      <w:rFonts w:ascii="Calibri" w:eastAsia="MS Gothic" w:hAnsi="Calibri" w:cs="Times New Roman"/>
      <w:b/>
      <w:bCs/>
      <w:iCs/>
      <w:color w:val="DC0000"/>
      <w:kern w:val="1"/>
      <w:sz w:val="32"/>
      <w:szCs w:val="28"/>
      <w:lang w:eastAsia="hi-IN" w:bidi="hi-IN"/>
    </w:rPr>
  </w:style>
  <w:style w:type="character" w:customStyle="1" w:styleId="Heading3Char">
    <w:name w:val="Heading 3 Char"/>
    <w:basedOn w:val="DefaultParagraphFont"/>
    <w:link w:val="Heading3"/>
    <w:uiPriority w:val="9"/>
    <w:rsid w:val="00C64F3C"/>
    <w:rPr>
      <w:rFonts w:ascii="Calibri" w:eastAsia="MS Gothic" w:hAnsi="Calibri" w:cs="Times New Roman"/>
      <w:b/>
      <w:bCs/>
      <w:color w:val="DC0000"/>
      <w:kern w:val="1"/>
      <w:sz w:val="24"/>
      <w:szCs w:val="26"/>
      <w:lang w:eastAsia="hi-IN" w:bidi="hi-IN"/>
    </w:rPr>
  </w:style>
  <w:style w:type="paragraph" w:customStyle="1" w:styleId="TableContents">
    <w:name w:val="Table Contents"/>
    <w:basedOn w:val="Normal"/>
    <w:rsid w:val="00C64F3C"/>
    <w:pPr>
      <w:suppressLineNumbers/>
    </w:pPr>
  </w:style>
  <w:style w:type="character" w:styleId="CommentReference">
    <w:name w:val="annotation reference"/>
    <w:unhideWhenUsed/>
    <w:rsid w:val="00C64F3C"/>
    <w:rPr>
      <w:sz w:val="18"/>
      <w:szCs w:val="18"/>
    </w:rPr>
  </w:style>
  <w:style w:type="paragraph" w:styleId="CommentText">
    <w:name w:val="annotation text"/>
    <w:basedOn w:val="Normal"/>
    <w:link w:val="CommentTextChar"/>
    <w:unhideWhenUsed/>
    <w:rsid w:val="00C64F3C"/>
  </w:style>
  <w:style w:type="character" w:customStyle="1" w:styleId="CommentTextChar">
    <w:name w:val="Comment Text Char"/>
    <w:basedOn w:val="DefaultParagraphFont"/>
    <w:link w:val="CommentText"/>
    <w:rsid w:val="00C64F3C"/>
    <w:rPr>
      <w:rFonts w:ascii="Times New Roman" w:eastAsia="SimSun" w:hAnsi="Times New Roman" w:cs="Tahoma"/>
      <w:kern w:val="1"/>
      <w:sz w:val="24"/>
      <w:szCs w:val="24"/>
      <w:lang w:eastAsia="hi-IN" w:bidi="hi-IN"/>
    </w:rPr>
  </w:style>
  <w:style w:type="paragraph" w:styleId="TOC1">
    <w:name w:val="toc 1"/>
    <w:basedOn w:val="Normal"/>
    <w:next w:val="Normal"/>
    <w:autoRedefine/>
    <w:uiPriority w:val="39"/>
    <w:unhideWhenUsed/>
    <w:rsid w:val="00C64F3C"/>
    <w:pPr>
      <w:spacing w:before="120"/>
    </w:pPr>
    <w:rPr>
      <w:rFonts w:ascii="Calibri" w:hAnsi="Calibri"/>
      <w:b/>
      <w:caps/>
      <w:szCs w:val="22"/>
    </w:rPr>
  </w:style>
  <w:style w:type="paragraph" w:styleId="TOC2">
    <w:name w:val="toc 2"/>
    <w:basedOn w:val="Normal"/>
    <w:next w:val="Normal"/>
    <w:autoRedefine/>
    <w:uiPriority w:val="39"/>
    <w:unhideWhenUsed/>
    <w:rsid w:val="00C64F3C"/>
    <w:pPr>
      <w:ind w:left="240"/>
    </w:pPr>
    <w:rPr>
      <w:rFonts w:ascii="Calibri" w:hAnsi="Calibri"/>
      <w:smallCaps/>
      <w:szCs w:val="22"/>
    </w:rPr>
  </w:style>
  <w:style w:type="paragraph" w:styleId="TOC3">
    <w:name w:val="toc 3"/>
    <w:basedOn w:val="Normal"/>
    <w:next w:val="Normal"/>
    <w:autoRedefine/>
    <w:uiPriority w:val="39"/>
    <w:unhideWhenUsed/>
    <w:rsid w:val="00C64F3C"/>
    <w:pPr>
      <w:ind w:left="480"/>
    </w:pPr>
    <w:rPr>
      <w:rFonts w:ascii="Cambria" w:hAnsi="Cambria"/>
      <w:i/>
      <w:sz w:val="22"/>
      <w:szCs w:val="22"/>
    </w:rPr>
  </w:style>
  <w:style w:type="paragraph" w:styleId="BalloonText">
    <w:name w:val="Balloon Text"/>
    <w:basedOn w:val="Normal"/>
    <w:link w:val="BalloonTextChar"/>
    <w:uiPriority w:val="99"/>
    <w:semiHidden/>
    <w:unhideWhenUsed/>
    <w:rsid w:val="00C64F3C"/>
    <w:rPr>
      <w:rFonts w:ascii="Tahoma" w:hAnsi="Tahoma" w:cs="Mangal"/>
      <w:sz w:val="16"/>
      <w:szCs w:val="14"/>
    </w:rPr>
  </w:style>
  <w:style w:type="character" w:customStyle="1" w:styleId="BalloonTextChar">
    <w:name w:val="Balloon Text Char"/>
    <w:basedOn w:val="DefaultParagraphFont"/>
    <w:link w:val="BalloonText"/>
    <w:uiPriority w:val="99"/>
    <w:semiHidden/>
    <w:rsid w:val="00C64F3C"/>
    <w:rPr>
      <w:rFonts w:ascii="Tahoma" w:eastAsia="SimSun" w:hAnsi="Tahoma" w:cs="Mangal"/>
      <w:kern w:val="1"/>
      <w:sz w:val="16"/>
      <w:szCs w:val="14"/>
      <w:lang w:val="en-GB" w:eastAsia="hi-IN" w:bidi="hi-IN"/>
    </w:rPr>
  </w:style>
  <w:style w:type="paragraph" w:styleId="Header">
    <w:name w:val="header"/>
    <w:basedOn w:val="Normal"/>
    <w:link w:val="HeaderChar"/>
    <w:uiPriority w:val="99"/>
    <w:unhideWhenUsed/>
    <w:rsid w:val="00C64F3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64F3C"/>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C64F3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64F3C"/>
    <w:rPr>
      <w:rFonts w:ascii="Times New Roman" w:eastAsia="SimSun" w:hAnsi="Times New Roman" w:cs="Mangal"/>
      <w:kern w:val="1"/>
      <w:sz w:val="24"/>
      <w:szCs w:val="21"/>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3C"/>
    <w:pPr>
      <w:widowControl w:val="0"/>
      <w:suppressAutoHyphens/>
      <w:spacing w:after="0" w:line="240" w:lineRule="auto"/>
    </w:pPr>
    <w:rPr>
      <w:rFonts w:ascii="Times New Roman" w:eastAsia="SimSun" w:hAnsi="Times New Roman" w:cs="Tahoma"/>
      <w:kern w:val="1"/>
      <w:sz w:val="24"/>
      <w:szCs w:val="24"/>
      <w:lang w:val="en-GB" w:eastAsia="hi-IN" w:bidi="hi-IN"/>
    </w:rPr>
  </w:style>
  <w:style w:type="paragraph" w:styleId="Heading1">
    <w:name w:val="heading 1"/>
    <w:basedOn w:val="Normal"/>
    <w:next w:val="Normal"/>
    <w:link w:val="Heading1Char"/>
    <w:uiPriority w:val="9"/>
    <w:qFormat/>
    <w:rsid w:val="00C64F3C"/>
    <w:pPr>
      <w:keepNext/>
      <w:spacing w:before="240" w:after="60"/>
      <w:outlineLvl w:val="0"/>
    </w:pPr>
    <w:rPr>
      <w:rFonts w:ascii="Calibri" w:eastAsia="MS Gothic" w:hAnsi="Calibri" w:cs="Times New Roman"/>
      <w:b/>
      <w:bCs/>
      <w:color w:val="DC0000"/>
      <w:kern w:val="32"/>
      <w:sz w:val="32"/>
      <w:szCs w:val="32"/>
    </w:rPr>
  </w:style>
  <w:style w:type="paragraph" w:styleId="Heading2">
    <w:name w:val="heading 2"/>
    <w:basedOn w:val="Normal"/>
    <w:next w:val="Normal"/>
    <w:link w:val="Heading2Char"/>
    <w:uiPriority w:val="9"/>
    <w:unhideWhenUsed/>
    <w:qFormat/>
    <w:rsid w:val="00C64F3C"/>
    <w:pPr>
      <w:keepNext/>
      <w:spacing w:before="240" w:after="60"/>
      <w:outlineLvl w:val="1"/>
    </w:pPr>
    <w:rPr>
      <w:rFonts w:ascii="Calibri" w:eastAsia="MS Gothic" w:hAnsi="Calibri" w:cs="Times New Roman"/>
      <w:b/>
      <w:bCs/>
      <w:iCs/>
      <w:color w:val="DC0000"/>
      <w:sz w:val="32"/>
      <w:szCs w:val="28"/>
    </w:rPr>
  </w:style>
  <w:style w:type="paragraph" w:styleId="Heading3">
    <w:name w:val="heading 3"/>
    <w:basedOn w:val="Normal"/>
    <w:next w:val="Normal"/>
    <w:link w:val="Heading3Char"/>
    <w:uiPriority w:val="9"/>
    <w:unhideWhenUsed/>
    <w:qFormat/>
    <w:rsid w:val="00C64F3C"/>
    <w:pPr>
      <w:keepNext/>
      <w:spacing w:before="240" w:after="60"/>
      <w:outlineLvl w:val="2"/>
    </w:pPr>
    <w:rPr>
      <w:rFonts w:ascii="Calibri" w:eastAsia="MS Gothic" w:hAnsi="Calibri" w:cs="Times New Roman"/>
      <w:b/>
      <w:bCs/>
      <w:color w:val="DC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3C"/>
    <w:rPr>
      <w:rFonts w:ascii="Calibri" w:eastAsia="MS Gothic" w:hAnsi="Calibri" w:cs="Times New Roman"/>
      <w:b/>
      <w:bCs/>
      <w:color w:val="DC0000"/>
      <w:kern w:val="32"/>
      <w:sz w:val="32"/>
      <w:szCs w:val="32"/>
      <w:lang w:eastAsia="hi-IN" w:bidi="hi-IN"/>
    </w:rPr>
  </w:style>
  <w:style w:type="character" w:customStyle="1" w:styleId="Heading2Char">
    <w:name w:val="Heading 2 Char"/>
    <w:basedOn w:val="DefaultParagraphFont"/>
    <w:link w:val="Heading2"/>
    <w:uiPriority w:val="9"/>
    <w:rsid w:val="00C64F3C"/>
    <w:rPr>
      <w:rFonts w:ascii="Calibri" w:eastAsia="MS Gothic" w:hAnsi="Calibri" w:cs="Times New Roman"/>
      <w:b/>
      <w:bCs/>
      <w:iCs/>
      <w:color w:val="DC0000"/>
      <w:kern w:val="1"/>
      <w:sz w:val="32"/>
      <w:szCs w:val="28"/>
      <w:lang w:eastAsia="hi-IN" w:bidi="hi-IN"/>
    </w:rPr>
  </w:style>
  <w:style w:type="character" w:customStyle="1" w:styleId="Heading3Char">
    <w:name w:val="Heading 3 Char"/>
    <w:basedOn w:val="DefaultParagraphFont"/>
    <w:link w:val="Heading3"/>
    <w:uiPriority w:val="9"/>
    <w:rsid w:val="00C64F3C"/>
    <w:rPr>
      <w:rFonts w:ascii="Calibri" w:eastAsia="MS Gothic" w:hAnsi="Calibri" w:cs="Times New Roman"/>
      <w:b/>
      <w:bCs/>
      <w:color w:val="DC0000"/>
      <w:kern w:val="1"/>
      <w:sz w:val="24"/>
      <w:szCs w:val="26"/>
      <w:lang w:eastAsia="hi-IN" w:bidi="hi-IN"/>
    </w:rPr>
  </w:style>
  <w:style w:type="paragraph" w:customStyle="1" w:styleId="TableContents">
    <w:name w:val="Table Contents"/>
    <w:basedOn w:val="Normal"/>
    <w:rsid w:val="00C64F3C"/>
    <w:pPr>
      <w:suppressLineNumbers/>
    </w:pPr>
  </w:style>
  <w:style w:type="character" w:styleId="CommentReference">
    <w:name w:val="annotation reference"/>
    <w:unhideWhenUsed/>
    <w:rsid w:val="00C64F3C"/>
    <w:rPr>
      <w:sz w:val="18"/>
      <w:szCs w:val="18"/>
    </w:rPr>
  </w:style>
  <w:style w:type="paragraph" w:styleId="CommentText">
    <w:name w:val="annotation text"/>
    <w:basedOn w:val="Normal"/>
    <w:link w:val="CommentTextChar"/>
    <w:unhideWhenUsed/>
    <w:rsid w:val="00C64F3C"/>
  </w:style>
  <w:style w:type="character" w:customStyle="1" w:styleId="CommentTextChar">
    <w:name w:val="Comment Text Char"/>
    <w:basedOn w:val="DefaultParagraphFont"/>
    <w:link w:val="CommentText"/>
    <w:rsid w:val="00C64F3C"/>
    <w:rPr>
      <w:rFonts w:ascii="Times New Roman" w:eastAsia="SimSun" w:hAnsi="Times New Roman" w:cs="Tahoma"/>
      <w:kern w:val="1"/>
      <w:sz w:val="24"/>
      <w:szCs w:val="24"/>
      <w:lang w:eastAsia="hi-IN" w:bidi="hi-IN"/>
    </w:rPr>
  </w:style>
  <w:style w:type="paragraph" w:styleId="TOC1">
    <w:name w:val="toc 1"/>
    <w:basedOn w:val="Normal"/>
    <w:next w:val="Normal"/>
    <w:autoRedefine/>
    <w:uiPriority w:val="39"/>
    <w:unhideWhenUsed/>
    <w:rsid w:val="00C64F3C"/>
    <w:pPr>
      <w:spacing w:before="120"/>
    </w:pPr>
    <w:rPr>
      <w:rFonts w:ascii="Calibri" w:hAnsi="Calibri"/>
      <w:b/>
      <w:caps/>
      <w:szCs w:val="22"/>
    </w:rPr>
  </w:style>
  <w:style w:type="paragraph" w:styleId="TOC2">
    <w:name w:val="toc 2"/>
    <w:basedOn w:val="Normal"/>
    <w:next w:val="Normal"/>
    <w:autoRedefine/>
    <w:uiPriority w:val="39"/>
    <w:unhideWhenUsed/>
    <w:rsid w:val="00C64F3C"/>
    <w:pPr>
      <w:ind w:left="240"/>
    </w:pPr>
    <w:rPr>
      <w:rFonts w:ascii="Calibri" w:hAnsi="Calibri"/>
      <w:smallCaps/>
      <w:szCs w:val="22"/>
    </w:rPr>
  </w:style>
  <w:style w:type="paragraph" w:styleId="TOC3">
    <w:name w:val="toc 3"/>
    <w:basedOn w:val="Normal"/>
    <w:next w:val="Normal"/>
    <w:autoRedefine/>
    <w:uiPriority w:val="39"/>
    <w:unhideWhenUsed/>
    <w:rsid w:val="00C64F3C"/>
    <w:pPr>
      <w:ind w:left="480"/>
    </w:pPr>
    <w:rPr>
      <w:rFonts w:ascii="Cambria" w:hAnsi="Cambria"/>
      <w:i/>
      <w:sz w:val="22"/>
      <w:szCs w:val="22"/>
    </w:rPr>
  </w:style>
  <w:style w:type="paragraph" w:styleId="BalloonText">
    <w:name w:val="Balloon Text"/>
    <w:basedOn w:val="Normal"/>
    <w:link w:val="BalloonTextChar"/>
    <w:uiPriority w:val="99"/>
    <w:semiHidden/>
    <w:unhideWhenUsed/>
    <w:rsid w:val="00C64F3C"/>
    <w:rPr>
      <w:rFonts w:ascii="Tahoma" w:hAnsi="Tahoma" w:cs="Mangal"/>
      <w:sz w:val="16"/>
      <w:szCs w:val="14"/>
    </w:rPr>
  </w:style>
  <w:style w:type="character" w:customStyle="1" w:styleId="BalloonTextChar">
    <w:name w:val="Balloon Text Char"/>
    <w:basedOn w:val="DefaultParagraphFont"/>
    <w:link w:val="BalloonText"/>
    <w:uiPriority w:val="99"/>
    <w:semiHidden/>
    <w:rsid w:val="00C64F3C"/>
    <w:rPr>
      <w:rFonts w:ascii="Tahoma" w:eastAsia="SimSun" w:hAnsi="Tahoma" w:cs="Mangal"/>
      <w:kern w:val="1"/>
      <w:sz w:val="16"/>
      <w:szCs w:val="14"/>
      <w:lang w:val="en-GB" w:eastAsia="hi-IN" w:bidi="hi-IN"/>
    </w:rPr>
  </w:style>
  <w:style w:type="paragraph" w:styleId="Header">
    <w:name w:val="header"/>
    <w:basedOn w:val="Normal"/>
    <w:link w:val="HeaderChar"/>
    <w:uiPriority w:val="99"/>
    <w:unhideWhenUsed/>
    <w:rsid w:val="00C64F3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64F3C"/>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C64F3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64F3C"/>
    <w:rPr>
      <w:rFonts w:ascii="Times New Roman" w:eastAsia="SimSun"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alifellows</dc:creator>
  <cp:lastModifiedBy>Lee Henderson</cp:lastModifiedBy>
  <cp:revision>2</cp:revision>
  <dcterms:created xsi:type="dcterms:W3CDTF">2015-08-26T16:32:00Z</dcterms:created>
  <dcterms:modified xsi:type="dcterms:W3CDTF">2015-08-26T16:32:00Z</dcterms:modified>
</cp:coreProperties>
</file>